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C4" w:rsidRPr="00B916C4" w:rsidRDefault="00B916C4" w:rsidP="00B916C4">
      <w:pPr>
        <w:spacing w:before="100" w:beforeAutospacing="1" w:after="100" w:afterAutospacing="1" w:line="240" w:lineRule="auto"/>
        <w:jc w:val="center"/>
        <w:rPr>
          <w:rFonts w:ascii="Times New Roman" w:eastAsia="Times New Roman" w:hAnsi="Times New Roman" w:cs="Times New Roman"/>
          <w:sz w:val="24"/>
          <w:szCs w:val="24"/>
        </w:rPr>
      </w:pPr>
      <w:r w:rsidRPr="00B916C4">
        <w:rPr>
          <w:rFonts w:ascii="Times New Roman" w:eastAsia="Times New Roman" w:hAnsi="Times New Roman" w:cs="Times New Roman"/>
          <w:b/>
          <w:bCs/>
          <w:sz w:val="24"/>
          <w:szCs w:val="24"/>
        </w:rPr>
        <w:t>Львівський національний університет імені Івана Франка</w:t>
      </w:r>
      <w:r w:rsidRPr="00B916C4">
        <w:rPr>
          <w:rFonts w:ascii="Times New Roman" w:eastAsia="Times New Roman" w:hAnsi="Times New Roman" w:cs="Times New Roman"/>
          <w:sz w:val="24"/>
          <w:szCs w:val="24"/>
        </w:rPr>
        <w:br/>
      </w:r>
      <w:r w:rsidRPr="00B916C4">
        <w:rPr>
          <w:rFonts w:ascii="Times New Roman" w:eastAsia="Times New Roman" w:hAnsi="Times New Roman" w:cs="Times New Roman"/>
          <w:b/>
          <w:bCs/>
          <w:sz w:val="24"/>
          <w:szCs w:val="24"/>
        </w:rPr>
        <w:t>Право. Фахові вступні випробування. Іспит </w:t>
      </w:r>
      <w:r w:rsidRPr="00B916C4">
        <w:rPr>
          <w:rFonts w:ascii="Times New Roman" w:eastAsia="Times New Roman" w:hAnsi="Times New Roman" w:cs="Times New Roman"/>
          <w:sz w:val="24"/>
          <w:szCs w:val="24"/>
        </w:rPr>
        <w:br/>
        <w:t xml:space="preserve">Варіант </w:t>
      </w:r>
      <w:r w:rsidRPr="00B916C4">
        <w:rPr>
          <w:rFonts w:ascii="Times New Roman" w:eastAsia="Times New Roman" w:hAnsi="Times New Roman" w:cs="Times New Roman"/>
          <w:b/>
          <w:bCs/>
          <w:sz w:val="24"/>
          <w:szCs w:val="24"/>
        </w:rPr>
        <w:t>1</w:t>
      </w:r>
      <w:r w:rsidRPr="00B916C4">
        <w:rPr>
          <w:rFonts w:ascii="Times New Roman" w:eastAsia="Times New Roman" w:hAnsi="Times New Roman" w:cs="Times New Roman"/>
          <w:sz w:val="24"/>
          <w:szCs w:val="24"/>
        </w:rPr>
        <w:t xml:space="preserve"> Студент___________________________ Група_______</w:t>
      </w:r>
    </w:p>
    <w:p w:rsidR="00B916C4" w:rsidRPr="00B916C4" w:rsidRDefault="00B916C4" w:rsidP="00B916C4">
      <w:pPr>
        <w:spacing w:before="100" w:beforeAutospacing="1" w:after="100" w:afterAutospacing="1"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i/>
          <w:iCs/>
          <w:sz w:val="24"/>
          <w:szCs w:val="24"/>
          <w:u w:val="single"/>
        </w:rPr>
        <w:t>Вказівки:</w:t>
      </w:r>
      <w:r w:rsidRPr="00B916C4">
        <w:rPr>
          <w:rFonts w:ascii="Times New Roman" w:eastAsia="Times New Roman" w:hAnsi="Times New Roman" w:cs="Times New Roman"/>
          <w:i/>
          <w:iCs/>
          <w:sz w:val="24"/>
          <w:szCs w:val="24"/>
        </w:rPr>
        <w:t xml:space="preserve"> Тест містить 25 завдань, які оцінюються по 2 бали.</w:t>
      </w:r>
      <w:r w:rsidRPr="00B916C4">
        <w:rPr>
          <w:rFonts w:ascii="Times New Roman" w:eastAsia="Times New Roman" w:hAnsi="Times New Roman" w:cs="Times New Roman"/>
          <w:i/>
          <w:iCs/>
          <w:sz w:val="24"/>
          <w:szCs w:val="24"/>
        </w:rPr>
        <w:br/>
      </w:r>
      <w:r w:rsidRPr="00B916C4">
        <w:rPr>
          <w:rFonts w:ascii="Times New Roman" w:eastAsia="Times New Roman" w:hAnsi="Times New Roman" w:cs="Times New Roman"/>
          <w:i/>
          <w:iCs/>
          <w:sz w:val="24"/>
          <w:szCs w:val="24"/>
        </w:rPr>
        <w:br/>
        <w:t>На виконання кожного завдання відводиться приблизно одна хвилина. Після закінчення часу система автоматично відправляє відповідь на сервер і пропонує наступне завдання.</w:t>
      </w:r>
      <w:r w:rsidRPr="00B916C4">
        <w:rPr>
          <w:rFonts w:ascii="Times New Roman" w:eastAsia="Times New Roman" w:hAnsi="Times New Roman" w:cs="Times New Roman"/>
          <w:i/>
          <w:iCs/>
          <w:sz w:val="24"/>
          <w:szCs w:val="24"/>
        </w:rPr>
        <w:br/>
      </w:r>
      <w:r w:rsidRPr="00B916C4">
        <w:rPr>
          <w:rFonts w:ascii="Times New Roman" w:eastAsia="Times New Roman" w:hAnsi="Times New Roman" w:cs="Times New Roman"/>
          <w:b/>
          <w:bCs/>
          <w:i/>
          <w:iCs/>
          <w:sz w:val="24"/>
          <w:szCs w:val="24"/>
        </w:rPr>
        <w:t>Повертатися до попереднього завдання заборонено!</w:t>
      </w:r>
      <w:r w:rsidRPr="00B916C4">
        <w:rPr>
          <w:rFonts w:ascii="Times New Roman" w:eastAsia="Times New Roman" w:hAnsi="Times New Roman" w:cs="Times New Roman"/>
          <w:i/>
          <w:iCs/>
          <w:sz w:val="24"/>
          <w:szCs w:val="24"/>
        </w:rPr>
        <w:br/>
        <w:t>Відповідь можна відправити достроково, натиснувши кнопку "Перевірити"</w:t>
      </w:r>
      <w:r w:rsidRPr="00B916C4">
        <w:rPr>
          <w:rFonts w:ascii="Times New Roman" w:eastAsia="Times New Roman" w:hAnsi="Times New Roman" w:cs="Times New Roman"/>
          <w:i/>
          <w:iCs/>
          <w:sz w:val="24"/>
          <w:szCs w:val="24"/>
        </w:rPr>
        <w:br/>
      </w:r>
      <w:r w:rsidRPr="00B916C4">
        <w:rPr>
          <w:rFonts w:ascii="Times New Roman" w:eastAsia="Times New Roman" w:hAnsi="Times New Roman" w:cs="Times New Roman"/>
          <w:i/>
          <w:iCs/>
          <w:sz w:val="24"/>
          <w:szCs w:val="24"/>
        </w:rPr>
        <w:br/>
        <w:t>Завдання можуть мати одну або кілька правильних відповідей. Завдання зараховується тільки тоді, коли відмічені всі правильні відповіді і не відмічена жодна неправильна.</w:t>
      </w:r>
      <w:r w:rsidRPr="00B916C4">
        <w:rPr>
          <w:rFonts w:ascii="Times New Roman" w:eastAsia="Times New Roman" w:hAnsi="Times New Roman" w:cs="Times New Roman"/>
          <w:i/>
          <w:iCs/>
          <w:sz w:val="24"/>
          <w:szCs w:val="24"/>
        </w:rPr>
        <w:br/>
      </w:r>
      <w:r w:rsidRPr="00B916C4">
        <w:rPr>
          <w:rFonts w:ascii="Times New Roman" w:eastAsia="Times New Roman" w:hAnsi="Times New Roman" w:cs="Times New Roman"/>
          <w:i/>
          <w:iCs/>
          <w:sz w:val="24"/>
          <w:szCs w:val="24"/>
        </w:rPr>
        <w:br/>
        <w:t>Після виконання останнього завдання тесту система виводить результат тестування та всі завдання тесту з відповідями вступника для перегляду.</w:t>
      </w:r>
      <w:r w:rsidRPr="00B916C4">
        <w:rPr>
          <w:rFonts w:ascii="Times New Roman" w:eastAsia="Times New Roman" w:hAnsi="Times New Roman" w:cs="Times New Roman"/>
          <w:sz w:val="24"/>
          <w:szCs w:val="24"/>
        </w:rPr>
        <w:br/>
        <w:t> </w:t>
      </w:r>
    </w:p>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b/>
          <w:bCs/>
          <w:sz w:val="24"/>
          <w:szCs w:val="24"/>
          <w:u w:val="single"/>
        </w:rPr>
        <w:t>Завдання № 1</w:t>
      </w:r>
      <w:r w:rsidRPr="00B916C4">
        <w:rPr>
          <w:rFonts w:ascii="Times New Roman" w:eastAsia="Times New Roman" w:hAnsi="Times New Roman" w:cs="Times New Roman"/>
          <w:sz w:val="24"/>
          <w:szCs w:val="24"/>
        </w:rPr>
        <w:t xml:space="preserve">. У відповідях під якими номерами правильно вказані види правозастосовчих актів за характером індивідуальних приписів: </w:t>
      </w:r>
      <w:r w:rsidRPr="00B916C4">
        <w:rPr>
          <w:rFonts w:ascii="Times New Roman" w:eastAsia="Times New Roman" w:hAnsi="Times New Roman" w:cs="Times New Roman"/>
          <w:sz w:val="24"/>
          <w:szCs w:val="24"/>
        </w:rPr>
        <w:br/>
        <w:t>    1) уповноважуючі    2) зобов’язуючі    3) регулятивні    4) письмові.</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2</w:t>
      </w:r>
      <w:r w:rsidRPr="00B916C4">
        <w:rPr>
          <w:rFonts w:ascii="Times New Roman" w:eastAsia="Times New Roman" w:hAnsi="Times New Roman" w:cs="Times New Roman"/>
          <w:sz w:val="24"/>
          <w:szCs w:val="24"/>
        </w:rPr>
        <w:t>. Основні нормативні засади позитивного права, що визначають сутність та спрямованість правового регулювання іменуються терміном  ________ </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3</w:t>
      </w:r>
      <w:r w:rsidRPr="00B916C4">
        <w:rPr>
          <w:rFonts w:ascii="Times New Roman" w:eastAsia="Times New Roman" w:hAnsi="Times New Roman" w:cs="Times New Roman"/>
          <w:sz w:val="24"/>
          <w:szCs w:val="24"/>
        </w:rPr>
        <w:t xml:space="preserve">. Перед наведеними ознаками вкажіть номер поняття, якому вони відповідають </w:t>
      </w:r>
    </w:p>
    <w:tbl>
      <w:tblPr>
        <w:tblW w:w="0" w:type="auto"/>
        <w:tblCellSpacing w:w="22" w:type="dxa"/>
        <w:tblCellMar>
          <w:top w:w="15" w:type="dxa"/>
          <w:left w:w="15" w:type="dxa"/>
          <w:bottom w:w="15" w:type="dxa"/>
          <w:right w:w="15" w:type="dxa"/>
        </w:tblCellMar>
        <w:tblLook w:val="04A0"/>
      </w:tblPr>
      <w:tblGrid>
        <w:gridCol w:w="216"/>
        <w:gridCol w:w="2437"/>
        <w:gridCol w:w="914"/>
        <w:gridCol w:w="6190"/>
      </w:tblGrid>
      <w:tr w:rsidR="00B916C4" w:rsidRPr="00B916C4">
        <w:trPr>
          <w:tblCellSpacing w:w="22" w:type="dxa"/>
        </w:trPr>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b/>
                <w:bCs/>
                <w:sz w:val="24"/>
                <w:szCs w:val="24"/>
              </w:rPr>
              <w:t>1</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xml:space="preserve">держава </w:t>
            </w:r>
          </w:p>
        </w:tc>
        <w:tc>
          <w:tcPr>
            <w:tcW w:w="750" w:type="dxa"/>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_______</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xml:space="preserve">влада не відокремлюється від суспільства </w:t>
            </w:r>
          </w:p>
        </w:tc>
      </w:tr>
      <w:tr w:rsidR="00B916C4" w:rsidRPr="00B916C4">
        <w:trPr>
          <w:tblCellSpacing w:w="22" w:type="dxa"/>
        </w:trPr>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b/>
                <w:bCs/>
                <w:sz w:val="24"/>
                <w:szCs w:val="24"/>
              </w:rPr>
              <w:t>2</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xml:space="preserve">влада первісного суспільства </w:t>
            </w:r>
          </w:p>
        </w:tc>
        <w:tc>
          <w:tcPr>
            <w:tcW w:w="750" w:type="dxa"/>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_______</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влада поширюється на всіх членів роду, на якій території вони б не перебували</w:t>
            </w:r>
          </w:p>
        </w:tc>
      </w:tr>
      <w:tr w:rsidR="00B916C4" w:rsidRPr="00B916C4">
        <w:trPr>
          <w:tblCellSpacing w:w="22" w:type="dxa"/>
        </w:trPr>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w:t>
            </w:r>
          </w:p>
        </w:tc>
        <w:tc>
          <w:tcPr>
            <w:tcW w:w="750" w:type="dxa"/>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_______</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xml:space="preserve">влада виражає інтереси певної частини населення </w:t>
            </w:r>
          </w:p>
        </w:tc>
      </w:tr>
      <w:tr w:rsidR="00B916C4" w:rsidRPr="00B916C4">
        <w:trPr>
          <w:tblCellSpacing w:w="22" w:type="dxa"/>
        </w:trPr>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w:t>
            </w:r>
          </w:p>
        </w:tc>
        <w:tc>
          <w:tcPr>
            <w:tcW w:w="750" w:type="dxa"/>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_______</w:t>
            </w:r>
          </w:p>
        </w:tc>
        <w:tc>
          <w:tcPr>
            <w:tcW w:w="0" w:type="auto"/>
            <w:vAlign w:val="center"/>
            <w:hideMark/>
          </w:tcPr>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xml:space="preserve">створюється система загальнообов’язкових правил поведінки </w:t>
            </w:r>
          </w:p>
        </w:tc>
      </w:tr>
    </w:tbl>
    <w:p w:rsidR="00B916C4" w:rsidRPr="00B916C4" w:rsidRDefault="00B916C4" w:rsidP="00B916C4">
      <w:pPr>
        <w:spacing w:after="0"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4</w:t>
      </w:r>
      <w:r w:rsidRPr="00B916C4">
        <w:rPr>
          <w:rFonts w:ascii="Times New Roman" w:eastAsia="Times New Roman" w:hAnsi="Times New Roman" w:cs="Times New Roman"/>
          <w:sz w:val="24"/>
          <w:szCs w:val="24"/>
        </w:rPr>
        <w:t xml:space="preserve">. В чому суть порівняльно-правового методу науки конституційного права: </w:t>
      </w:r>
      <w:r w:rsidRPr="00B916C4">
        <w:rPr>
          <w:rFonts w:ascii="Times New Roman" w:eastAsia="Times New Roman" w:hAnsi="Times New Roman" w:cs="Times New Roman"/>
          <w:sz w:val="24"/>
          <w:szCs w:val="24"/>
        </w:rPr>
        <w:br/>
        <w:t>    1) Допомагає дослідити дієвість норм конституційного права    2) Допомагає дослідити статику та розвиток конституційно-правового інституту у зарубіжних країнах в один і той же час    3) Досліджуючи окремі елементи, виникає можливість зробити висновок про цілісність явища    4) Допомагає дослідити розвиток конституційно-правового явища у часі    5) Дає можливість дослідити громадську думку</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5</w:t>
      </w:r>
      <w:r w:rsidRPr="00B916C4">
        <w:rPr>
          <w:rFonts w:ascii="Times New Roman" w:eastAsia="Times New Roman" w:hAnsi="Times New Roman" w:cs="Times New Roman"/>
          <w:sz w:val="24"/>
          <w:szCs w:val="24"/>
        </w:rPr>
        <w:t xml:space="preserve">. Відповідно до Конституції Президент України не може: </w:t>
      </w:r>
      <w:r w:rsidRPr="00B916C4">
        <w:rPr>
          <w:rFonts w:ascii="Times New Roman" w:eastAsia="Times New Roman" w:hAnsi="Times New Roman" w:cs="Times New Roman"/>
          <w:sz w:val="24"/>
          <w:szCs w:val="24"/>
        </w:rPr>
        <w:br/>
        <w:t>    1) призначати на посаду Генерального прокурора України    2) входити до складу керівного органу або наглядової ради підприємства    3) входити до складу керівного органу або наглядової ради підприємства, що має на меті одержання прибутку    4) зупиняти дію акти Кабінету Міністрів України    5) приймати рішення про введення надзвичайного стану</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6</w:t>
      </w:r>
      <w:r w:rsidRPr="00B916C4">
        <w:rPr>
          <w:rFonts w:ascii="Times New Roman" w:eastAsia="Times New Roman" w:hAnsi="Times New Roman" w:cs="Times New Roman"/>
          <w:sz w:val="24"/>
          <w:szCs w:val="24"/>
        </w:rPr>
        <w:t xml:space="preserve">. Назвіть відносини, що становлять предмет правового регулювання конституційного права України як галузі права: </w:t>
      </w:r>
      <w:r w:rsidRPr="00B916C4">
        <w:rPr>
          <w:rFonts w:ascii="Times New Roman" w:eastAsia="Times New Roman" w:hAnsi="Times New Roman" w:cs="Times New Roman"/>
          <w:sz w:val="24"/>
          <w:szCs w:val="24"/>
        </w:rPr>
        <w:br/>
        <w:t>    1) Відносини управління;    2) Особисті немайнові відносини;    3) Державнополітичні відносини владарювання;    4) Відносини у сфері муніципального управління в Україні:    5) Відносини у сфері фінансування виборів в Україні</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7</w:t>
      </w:r>
      <w:r w:rsidRPr="00B916C4">
        <w:rPr>
          <w:rFonts w:ascii="Times New Roman" w:eastAsia="Times New Roman" w:hAnsi="Times New Roman" w:cs="Times New Roman"/>
          <w:sz w:val="24"/>
          <w:szCs w:val="24"/>
        </w:rPr>
        <w:t xml:space="preserve">. Апеляційний суд повідомляє про дату, час і місце судового засідання особу, яка подала скаргу, інших осіб, які беруть участь у провадженні у справі про адміністративне правопорушення, не пізніше ніж за … до початку судового засідання: </w:t>
      </w:r>
      <w:r w:rsidRPr="00B916C4">
        <w:rPr>
          <w:rFonts w:ascii="Times New Roman" w:eastAsia="Times New Roman" w:hAnsi="Times New Roman" w:cs="Times New Roman"/>
          <w:sz w:val="24"/>
          <w:szCs w:val="24"/>
        </w:rPr>
        <w:br/>
        <w:t>    1) чотири дні;    2) два дні;    3) п’ять днів.    4) три дні;    5) день;</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8</w:t>
      </w:r>
      <w:r w:rsidRPr="00B916C4">
        <w:rPr>
          <w:rFonts w:ascii="Times New Roman" w:eastAsia="Times New Roman" w:hAnsi="Times New Roman" w:cs="Times New Roman"/>
          <w:sz w:val="24"/>
          <w:szCs w:val="24"/>
        </w:rPr>
        <w:t xml:space="preserve">. Твердження про те, що постанову у справі про адміністративне </w:t>
      </w:r>
      <w:r w:rsidRPr="00B916C4">
        <w:rPr>
          <w:rFonts w:ascii="Times New Roman" w:eastAsia="Times New Roman" w:hAnsi="Times New Roman" w:cs="Times New Roman"/>
          <w:sz w:val="24"/>
          <w:szCs w:val="24"/>
        </w:rPr>
        <w:lastRenderedPageBreak/>
        <w:t xml:space="preserve">правопорушення може бути оскаржено захисником: </w:t>
      </w:r>
      <w:r w:rsidRPr="00B916C4">
        <w:rPr>
          <w:rFonts w:ascii="Times New Roman" w:eastAsia="Times New Roman" w:hAnsi="Times New Roman" w:cs="Times New Roman"/>
          <w:sz w:val="24"/>
          <w:szCs w:val="24"/>
        </w:rPr>
        <w:br/>
        <w:t>    1) вірне;    2) невірне;</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9</w:t>
      </w:r>
      <w:r w:rsidRPr="00B916C4">
        <w:rPr>
          <w:rFonts w:ascii="Times New Roman" w:eastAsia="Times New Roman" w:hAnsi="Times New Roman" w:cs="Times New Roman"/>
          <w:sz w:val="24"/>
          <w:szCs w:val="24"/>
        </w:rPr>
        <w:t xml:space="preserve">. Вкажіть правильну відповідь: «На службу в органи місцевого самоврядування не можуть бути прийняті особи: </w:t>
      </w:r>
      <w:r w:rsidRPr="00B916C4">
        <w:rPr>
          <w:rFonts w:ascii="Times New Roman" w:eastAsia="Times New Roman" w:hAnsi="Times New Roman" w:cs="Times New Roman"/>
          <w:sz w:val="24"/>
          <w:szCs w:val="24"/>
        </w:rPr>
        <w:br/>
        <w:t>    1) які за рішенням суду позбавлені права займати посади в органах місцевого самоврядування    2) які мають громадянство України;    3) які пройшли стажування в органах державної влади;    4) які мають родичів на державній службі;    5) які не мають вищої юридичної освіти;</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10</w:t>
      </w:r>
      <w:r w:rsidRPr="00B916C4">
        <w:rPr>
          <w:rFonts w:ascii="Times New Roman" w:eastAsia="Times New Roman" w:hAnsi="Times New Roman" w:cs="Times New Roman"/>
          <w:sz w:val="24"/>
          <w:szCs w:val="24"/>
        </w:rPr>
        <w:t xml:space="preserve">. Скорочена тривалість робочого часу може встановлюватись на підприємствах і в організаціях для жінок, які мають дітей віком до чотирнадцяти років або дитину-інваліда за рахунок.... </w:t>
      </w:r>
      <w:r w:rsidRPr="00B916C4">
        <w:rPr>
          <w:rFonts w:ascii="Times New Roman" w:eastAsia="Times New Roman" w:hAnsi="Times New Roman" w:cs="Times New Roman"/>
          <w:sz w:val="24"/>
          <w:szCs w:val="24"/>
        </w:rPr>
        <w:br/>
        <w:t>    1) профспілкових коштів    2) надходжень з державного бюджету    3) Пенсійного фонду України    4) власних коштів підприємства    5) соціальних фондів    6) дотацій органу місцевого самоврядування на території якого знаходиться підприємство</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11</w:t>
      </w:r>
      <w:r w:rsidRPr="00B916C4">
        <w:rPr>
          <w:rFonts w:ascii="Times New Roman" w:eastAsia="Times New Roman" w:hAnsi="Times New Roman" w:cs="Times New Roman"/>
          <w:sz w:val="24"/>
          <w:szCs w:val="24"/>
        </w:rPr>
        <w:t xml:space="preserve">. До прогулу прирівнюються: </w:t>
      </w:r>
      <w:r w:rsidRPr="00B916C4">
        <w:rPr>
          <w:rFonts w:ascii="Times New Roman" w:eastAsia="Times New Roman" w:hAnsi="Times New Roman" w:cs="Times New Roman"/>
          <w:sz w:val="24"/>
          <w:szCs w:val="24"/>
        </w:rPr>
        <w:br/>
        <w:t>    1) використання вихідних днів    2) залишення працівником роботи до закінчення двотижневого терміну попередження про розірвання трудового договору за власним бажанням    3) перебування у відрядженні    4) самовільне використання без погодження з роботодавцем днів відгулів    5) проходження обов’язкового медичного огляду    6) відмова від переведення на легшу роботу, яку він потребував за станом здоров’я відповідно до медичного висновку</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12</w:t>
      </w:r>
      <w:r w:rsidRPr="00B916C4">
        <w:rPr>
          <w:rFonts w:ascii="Times New Roman" w:eastAsia="Times New Roman" w:hAnsi="Times New Roman" w:cs="Times New Roman"/>
          <w:sz w:val="24"/>
          <w:szCs w:val="24"/>
        </w:rPr>
        <w:t xml:space="preserve">. Голова КТС обирається: </w:t>
      </w:r>
      <w:r w:rsidRPr="00B916C4">
        <w:rPr>
          <w:rFonts w:ascii="Times New Roman" w:eastAsia="Times New Roman" w:hAnsi="Times New Roman" w:cs="Times New Roman"/>
          <w:sz w:val="24"/>
          <w:szCs w:val="24"/>
        </w:rPr>
        <w:br/>
        <w:t>    1) роботодавцем    2) комісією по трудових спорах    3) конференцією трудового колективу    4) профспілкою    5) загальними зборами трудового колективу    6) трудовими колективами підрозділів</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13</w:t>
      </w:r>
      <w:r w:rsidRPr="00B916C4">
        <w:rPr>
          <w:rFonts w:ascii="Times New Roman" w:eastAsia="Times New Roman" w:hAnsi="Times New Roman" w:cs="Times New Roman"/>
          <w:sz w:val="24"/>
          <w:szCs w:val="24"/>
        </w:rPr>
        <w:t xml:space="preserve">. Обсяг правової охорони торговельної марки визначається </w:t>
      </w:r>
      <w:r w:rsidRPr="00B916C4">
        <w:rPr>
          <w:rFonts w:ascii="Times New Roman" w:eastAsia="Times New Roman" w:hAnsi="Times New Roman" w:cs="Times New Roman"/>
          <w:sz w:val="24"/>
          <w:szCs w:val="24"/>
        </w:rPr>
        <w:br/>
        <w:t>    1) володільцем відповідного свідоцтва;    2) наведеними у свідоцтві її зображенням та переліком товарів і послуг, якщо інше не встановлено законом.    3) Державною службою інтелектуальної власності України;    4) договором;    5) постановами Кабінету Міністрів України;</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14</w:t>
      </w:r>
      <w:r w:rsidRPr="00B916C4">
        <w:rPr>
          <w:rFonts w:ascii="Times New Roman" w:eastAsia="Times New Roman" w:hAnsi="Times New Roman" w:cs="Times New Roman"/>
          <w:sz w:val="24"/>
          <w:szCs w:val="24"/>
        </w:rPr>
        <w:t xml:space="preserve">. Хто є суб’єктом права приватної власності (власником): </w:t>
      </w:r>
      <w:r w:rsidRPr="00B916C4">
        <w:rPr>
          <w:rFonts w:ascii="Times New Roman" w:eastAsia="Times New Roman" w:hAnsi="Times New Roman" w:cs="Times New Roman"/>
          <w:sz w:val="24"/>
          <w:szCs w:val="24"/>
        </w:rPr>
        <w:br/>
        <w:t>    1) Український народ;    2) Львівська обласна державна адміністрація;    3) ТзОВ „Смерічка”;    4) Територіальна громада, яка утворила юридичну особу.    5) Автономна Республіка Крим;</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15</w:t>
      </w:r>
      <w:r w:rsidRPr="00B916C4">
        <w:rPr>
          <w:rFonts w:ascii="Times New Roman" w:eastAsia="Times New Roman" w:hAnsi="Times New Roman" w:cs="Times New Roman"/>
          <w:sz w:val="24"/>
          <w:szCs w:val="24"/>
        </w:rPr>
        <w:t xml:space="preserve">. Заява про прийняття спадщини може бути відкликана протягом </w:t>
      </w:r>
      <w:r w:rsidRPr="00B916C4">
        <w:rPr>
          <w:rFonts w:ascii="Times New Roman" w:eastAsia="Times New Roman" w:hAnsi="Times New Roman" w:cs="Times New Roman"/>
          <w:sz w:val="24"/>
          <w:szCs w:val="24"/>
        </w:rPr>
        <w:br/>
        <w:t>    1) 1 місяця з моменту прийняття спадщини    2) строку, встановленого для прийняття спадщини    3) 3 місяців з моменту її подання    4) в будь-який час    5) 2 місяців з моменту прийняття спадщини</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16</w:t>
      </w:r>
      <w:r w:rsidRPr="00B916C4">
        <w:rPr>
          <w:rFonts w:ascii="Times New Roman" w:eastAsia="Times New Roman" w:hAnsi="Times New Roman" w:cs="Times New Roman"/>
          <w:sz w:val="24"/>
          <w:szCs w:val="24"/>
        </w:rPr>
        <w:t xml:space="preserve">. Договір страхування визнається судом недійсним, якщо: </w:t>
      </w:r>
      <w:r w:rsidRPr="00B916C4">
        <w:rPr>
          <w:rFonts w:ascii="Times New Roman" w:eastAsia="Times New Roman" w:hAnsi="Times New Roman" w:cs="Times New Roman"/>
          <w:sz w:val="24"/>
          <w:szCs w:val="24"/>
        </w:rPr>
        <w:br/>
        <w:t>    1) його укладено після настання страхового випадку    2) закінчився строк дії договору    3) страхувальник помер або оголошений судом померлим    4) сторони не досягли згоди щодо усіх його істотних умов    5) страхувальник прострочив внесення страхового платежу більш, ніж на 10 робочих днів</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17</w:t>
      </w:r>
      <w:r w:rsidRPr="00B916C4">
        <w:rPr>
          <w:rFonts w:ascii="Times New Roman" w:eastAsia="Times New Roman" w:hAnsi="Times New Roman" w:cs="Times New Roman"/>
          <w:sz w:val="24"/>
          <w:szCs w:val="24"/>
        </w:rPr>
        <w:t>. Вставте пропущену цифру (цифри) у наведеному нижче законодавчому положенні: «Під час укладення договорів про спільну діяльність розмір частки державних підприємств, установ і організацій, а також господарських товариств, у статутному капіталі яких частка держави, перевищує 50 відсотків, має становити не менш як  ________  відсотків спільного майна учасників спільної діяльності».</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18</w:t>
      </w:r>
      <w:r w:rsidRPr="00B916C4">
        <w:rPr>
          <w:rFonts w:ascii="Times New Roman" w:eastAsia="Times New Roman" w:hAnsi="Times New Roman" w:cs="Times New Roman"/>
          <w:sz w:val="24"/>
          <w:szCs w:val="24"/>
        </w:rPr>
        <w:t xml:space="preserve">. Якщо позивач у позовній заяві зазначає третю особу без самостійних вимог, суд при відкритті провадження по справі: </w:t>
      </w:r>
      <w:r w:rsidRPr="00B916C4">
        <w:rPr>
          <w:rFonts w:ascii="Times New Roman" w:eastAsia="Times New Roman" w:hAnsi="Times New Roman" w:cs="Times New Roman"/>
          <w:sz w:val="24"/>
          <w:szCs w:val="24"/>
        </w:rPr>
        <w:br/>
        <w:t>    1) надсилає третій особі пропозицію подати зустрічний позов.    2) може прийняти рішення про відмову в залученні третьої особи.    3) надсилає цій третій особі ухвалу про відкриття провадження по справі та копію позовної заяви.    4) надсилає цій третій особі повідомлення про її участь процесі.    5) надсилає третій особі пропозицію подати регресний позов.</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lastRenderedPageBreak/>
        <w:t>Завдання № 19</w:t>
      </w:r>
      <w:r w:rsidRPr="00B916C4">
        <w:rPr>
          <w:rFonts w:ascii="Times New Roman" w:eastAsia="Times New Roman" w:hAnsi="Times New Roman" w:cs="Times New Roman"/>
          <w:sz w:val="24"/>
          <w:szCs w:val="24"/>
        </w:rPr>
        <w:t xml:space="preserve">. В порядку цивільного судочинства розглядаються справи: </w:t>
      </w:r>
      <w:r w:rsidRPr="00B916C4">
        <w:rPr>
          <w:rFonts w:ascii="Times New Roman" w:eastAsia="Times New Roman" w:hAnsi="Times New Roman" w:cs="Times New Roman"/>
          <w:sz w:val="24"/>
          <w:szCs w:val="24"/>
        </w:rPr>
        <w:br/>
        <w:t>    1) про прийняття громадян на публічну службу    2) у спорах щодо обліку прав на цінні папери    3) про банкрутство    4) про припинення діяльності релігійної організації за заявою органу, уповноваженого здійснювати реєстрацію статуту релігійної організації або прокурора    5) про накладення адміністративного стягнення</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20</w:t>
      </w:r>
      <w:r w:rsidRPr="00B916C4">
        <w:rPr>
          <w:rFonts w:ascii="Times New Roman" w:eastAsia="Times New Roman" w:hAnsi="Times New Roman" w:cs="Times New Roman"/>
          <w:sz w:val="24"/>
          <w:szCs w:val="24"/>
        </w:rPr>
        <w:t xml:space="preserve">. За джерелом, за допомогою якого суд одержує докази в теорії цивільного процесу вони поділяються на: </w:t>
      </w:r>
      <w:r w:rsidRPr="00B916C4">
        <w:rPr>
          <w:rFonts w:ascii="Times New Roman" w:eastAsia="Times New Roman" w:hAnsi="Times New Roman" w:cs="Times New Roman"/>
          <w:sz w:val="24"/>
          <w:szCs w:val="24"/>
        </w:rPr>
        <w:br/>
        <w:t>    1) об‘єктивні;    2) якісні    3) опосередковані;    4) особисті, речові;    5) безпосередні;</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21</w:t>
      </w:r>
      <w:r w:rsidRPr="00B916C4">
        <w:rPr>
          <w:rFonts w:ascii="Times New Roman" w:eastAsia="Times New Roman" w:hAnsi="Times New Roman" w:cs="Times New Roman"/>
          <w:sz w:val="24"/>
          <w:szCs w:val="24"/>
        </w:rPr>
        <w:t xml:space="preserve">. Вкажіть максимально точно, за яких умов накази або розпорядження, з метою виконання яких було вчинене діяння, що заподіяло шкоду правоохоронюваним інтересам, є законними відповідно до положення КК України </w:t>
      </w:r>
      <w:r w:rsidRPr="00B916C4">
        <w:rPr>
          <w:rFonts w:ascii="Times New Roman" w:eastAsia="Times New Roman" w:hAnsi="Times New Roman" w:cs="Times New Roman"/>
          <w:sz w:val="24"/>
          <w:szCs w:val="24"/>
        </w:rPr>
        <w:br/>
        <w:t>    1) якщо вони віддані відповідною особою в належному порядку та в межах її повноважень і за змістом не суперечать чинному законодавству та не пов’язані з порушенням конституційних прав та свобод людини і громадянина    2) якщо вони віддані відповідною особою    3) якщо вони віддані відповідною особою в належному порядку та в межах її повноважень    4) якщо вони віддані відповідною особою в належному порядку та в межах її повноважень і за змістом не суперечать чинному законодавству    5) якщо вони за змістом не суперечать чинному законодавству та не пов’язані з порушенням конституційних прав та свобод людини і громадянина</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22</w:t>
      </w:r>
      <w:r w:rsidRPr="00B916C4">
        <w:rPr>
          <w:rFonts w:ascii="Times New Roman" w:eastAsia="Times New Roman" w:hAnsi="Times New Roman" w:cs="Times New Roman"/>
          <w:sz w:val="24"/>
          <w:szCs w:val="24"/>
        </w:rPr>
        <w:t>. Вкажіть правильний варіант відповіді</w:t>
      </w:r>
      <w:r w:rsidRPr="00B916C4">
        <w:rPr>
          <w:rFonts w:ascii="Times New Roman" w:eastAsia="Times New Roman" w:hAnsi="Times New Roman" w:cs="Times New Roman"/>
          <w:sz w:val="24"/>
          <w:szCs w:val="24"/>
        </w:rPr>
        <w:br/>
        <w:t xml:space="preserve">Твердження про те, що особа, яка вчинила дію або бездіяльність, що лише формально містить ознаки будь-якого діяння, передбаченого КК, але через малозначність не становить суспільної небезпеки звільняється від кримінальної відповідальності: </w:t>
      </w:r>
      <w:r w:rsidRPr="00B916C4">
        <w:rPr>
          <w:rFonts w:ascii="Times New Roman" w:eastAsia="Times New Roman" w:hAnsi="Times New Roman" w:cs="Times New Roman"/>
          <w:sz w:val="24"/>
          <w:szCs w:val="24"/>
        </w:rPr>
        <w:br/>
        <w:t>    1) вірне    2) невірне</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23</w:t>
      </w:r>
      <w:r w:rsidRPr="00B916C4">
        <w:rPr>
          <w:rFonts w:ascii="Times New Roman" w:eastAsia="Times New Roman" w:hAnsi="Times New Roman" w:cs="Times New Roman"/>
          <w:sz w:val="24"/>
          <w:szCs w:val="24"/>
        </w:rPr>
        <w:t xml:space="preserve">. Які негативні ознаки передбачені у складі злочину «Розголошення державної таємниці»? </w:t>
      </w:r>
      <w:r w:rsidRPr="00B916C4">
        <w:rPr>
          <w:rFonts w:ascii="Times New Roman" w:eastAsia="Times New Roman" w:hAnsi="Times New Roman" w:cs="Times New Roman"/>
          <w:sz w:val="24"/>
          <w:szCs w:val="24"/>
        </w:rPr>
        <w:br/>
        <w:t>    1) відсутність суспільно-небезпечних наслідків;    2) відсутність складу злочину;    3) відсутність ознак шпигунства.    4) відсутність ознак шахрайства;    5) відсутність небезпеки в момент заподіяння;</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24</w:t>
      </w:r>
      <w:r w:rsidRPr="00B916C4">
        <w:rPr>
          <w:rFonts w:ascii="Times New Roman" w:eastAsia="Times New Roman" w:hAnsi="Times New Roman" w:cs="Times New Roman"/>
          <w:sz w:val="24"/>
          <w:szCs w:val="24"/>
        </w:rPr>
        <w:t xml:space="preserve">. Вкажіть відповідь, в якій наведене правильне положення, що стосується відповідальності за військові злочини: </w:t>
      </w:r>
      <w:r w:rsidRPr="00B916C4">
        <w:rPr>
          <w:rFonts w:ascii="Times New Roman" w:eastAsia="Times New Roman" w:hAnsi="Times New Roman" w:cs="Times New Roman"/>
          <w:sz w:val="24"/>
          <w:szCs w:val="24"/>
        </w:rPr>
        <w:br/>
        <w:t>    1) особи, наділені ознаками суб'єкта військових злочинів, не можуть бути виконавцями цих посягань;    2) цивільна особа не може виступати пособником військових злочинів;    3) кримінальна відповідальність за військові злочини настає лише при вчиненні відповідних дій у військовий час.    4) цивільна особа не може виступати організатором військового злочину;    5) особи, не наділені ознаками суб'єкта військових злочинів, не можуть бути виконавцями цих посягань;</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b/>
          <w:bCs/>
          <w:sz w:val="24"/>
          <w:szCs w:val="24"/>
          <w:u w:val="single"/>
        </w:rPr>
        <w:t>Завдання № 25</w:t>
      </w:r>
      <w:r w:rsidRPr="00B916C4">
        <w:rPr>
          <w:rFonts w:ascii="Times New Roman" w:eastAsia="Times New Roman" w:hAnsi="Times New Roman" w:cs="Times New Roman"/>
          <w:sz w:val="24"/>
          <w:szCs w:val="24"/>
        </w:rPr>
        <w:t xml:space="preserve">. Які положення, що стосуються кримінальної відповідальності за заподіяння майнової шкоди шляхом обману або зловживання довірою є правильними: </w:t>
      </w:r>
      <w:r w:rsidRPr="00B916C4">
        <w:rPr>
          <w:rFonts w:ascii="Times New Roman" w:eastAsia="Times New Roman" w:hAnsi="Times New Roman" w:cs="Times New Roman"/>
          <w:sz w:val="24"/>
          <w:szCs w:val="24"/>
        </w:rPr>
        <w:br/>
        <w:t>    1) кримінальна відповідальність за цей злочин настає лише якщо заподіяна шкода є значною.    2) кримінальна відповідальність за цей злочин настає лише якщо особа перед тим протягом року притягувалася до адміністративної відповідальності;    3) у диспозиції статті названа негативна ознака - відсутність ознак шахрайства;    4) кримінальна відповідальність за цей злочин настає лише при спричиненні шкоди систематично;    5) кримінальна відповідальність за цей злочин настає лише при спричиненні шкоди неодноразово;</w:t>
      </w:r>
      <w:r w:rsidRPr="00B916C4">
        <w:rPr>
          <w:rFonts w:ascii="Times New Roman" w:eastAsia="Times New Roman" w:hAnsi="Times New Roman" w:cs="Times New Roman"/>
          <w:sz w:val="24"/>
          <w:szCs w:val="24"/>
        </w:rPr>
        <w:br w:type="textWrapping" w:clear="all"/>
      </w:r>
      <w:r w:rsidRPr="00B916C4">
        <w:rPr>
          <w:rFonts w:ascii="Times New Roman" w:eastAsia="Times New Roman" w:hAnsi="Times New Roman" w:cs="Times New Roman"/>
          <w:sz w:val="24"/>
          <w:szCs w:val="24"/>
        </w:rPr>
        <w:br/>
        <w:t> </w:t>
      </w:r>
      <w:r w:rsidRPr="00B916C4">
        <w:rPr>
          <w:rFonts w:ascii="Times New Roman" w:eastAsia="Times New Roman" w:hAnsi="Times New Roman" w:cs="Times New Roman"/>
          <w:sz w:val="24"/>
          <w:szCs w:val="24"/>
        </w:rPr>
        <w:br/>
        <w:t> </w:t>
      </w:r>
    </w:p>
    <w:p w:rsidR="003F77B3" w:rsidRPr="00B916C4" w:rsidRDefault="00B916C4" w:rsidP="00B916C4">
      <w:pPr>
        <w:spacing w:before="100" w:beforeAutospacing="1" w:after="100" w:afterAutospacing="1" w:line="240" w:lineRule="auto"/>
        <w:rPr>
          <w:rFonts w:ascii="Times New Roman" w:eastAsia="Times New Roman" w:hAnsi="Times New Roman" w:cs="Times New Roman"/>
          <w:sz w:val="24"/>
          <w:szCs w:val="24"/>
        </w:rPr>
      </w:pPr>
      <w:r w:rsidRPr="00B916C4">
        <w:rPr>
          <w:rFonts w:ascii="Times New Roman" w:eastAsia="Times New Roman" w:hAnsi="Times New Roman" w:cs="Times New Roman"/>
          <w:sz w:val="24"/>
          <w:szCs w:val="24"/>
        </w:rPr>
        <w:t xml:space="preserve">Екзаменатор </w:t>
      </w:r>
    </w:p>
    <w:sectPr w:rsidR="003F77B3" w:rsidRPr="00B916C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FELayout/>
  </w:compat>
  <w:rsids>
    <w:rsidRoot w:val="00B916C4"/>
    <w:rsid w:val="003F77B3"/>
    <w:rsid w:val="00B916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6615</Words>
  <Characters>3771</Characters>
  <Application>Microsoft Office Word</Application>
  <DocSecurity>0</DocSecurity>
  <Lines>31</Lines>
  <Paragraphs>20</Paragraphs>
  <ScaleCrop>false</ScaleCrop>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2017-03-24T13:40:00Z</dcterms:created>
  <dcterms:modified xsi:type="dcterms:W3CDTF">2017-03-24T13:41:00Z</dcterms:modified>
</cp:coreProperties>
</file>